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27"/>
        <w:gridCol w:w="2240"/>
        <w:gridCol w:w="4362"/>
      </w:tblGrid>
      <w:tr w:rsidR="004501B5" w:rsidRPr="00042733" w:rsidTr="005B1174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B5" w:rsidRPr="00042733" w:rsidRDefault="00F80475" w:rsidP="005B1174">
            <w:pPr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rPr>
                <w:rFonts w:eastAsia="Times New Roman" w:cstheme="minorHAnsi"/>
                <w:b/>
                <w:bCs/>
                <w:sz w:val="28"/>
                <w:szCs w:val="28"/>
                <w:lang w:val="en-GB" w:eastAsia="zh-CN"/>
              </w:rPr>
            </w:pPr>
            <w:r w:rsidRPr="00042733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val="en-GB" w:eastAsia="zh-CN"/>
              </w:rPr>
              <w:t>QUANTITATIVE GENETICS AND SELECTION</w:t>
            </w:r>
          </w:p>
        </w:tc>
      </w:tr>
      <w:tr w:rsidR="004501B5" w:rsidRPr="00042733" w:rsidTr="005B1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1572" w:type="pct"/>
            <w:vAlign w:val="center"/>
          </w:tcPr>
          <w:p w:rsidR="004501B5" w:rsidRPr="00042733" w:rsidRDefault="004501B5" w:rsidP="005B1174">
            <w:pPr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Course coordinator</w:t>
            </w:r>
          </w:p>
        </w:tc>
        <w:tc>
          <w:tcPr>
            <w:tcW w:w="3428" w:type="pct"/>
            <w:gridSpan w:val="2"/>
            <w:vAlign w:val="center"/>
          </w:tcPr>
          <w:p w:rsidR="004501B5" w:rsidRPr="00042733" w:rsidRDefault="00356C36" w:rsidP="005B1174">
            <w:pPr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Calibri" w:eastAsia="Times New Roman" w:hAnsi="Calibri" w:cs="Calibri"/>
                <w:bCs/>
                <w:color w:val="000000" w:themeColor="text1"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color w:val="000000" w:themeColor="text1"/>
                <w:lang w:val="en-GB" w:eastAsia="zh-CN"/>
              </w:rPr>
              <w:t xml:space="preserve">Associate professor, Boris </w:t>
            </w:r>
            <w:proofErr w:type="spellStart"/>
            <w:r w:rsidRPr="00042733">
              <w:rPr>
                <w:rFonts w:ascii="Calibri" w:eastAsia="Times New Roman" w:hAnsi="Calibri" w:cs="Calibri"/>
                <w:bCs/>
                <w:color w:val="000000" w:themeColor="text1"/>
                <w:lang w:val="en-GB" w:eastAsia="zh-CN"/>
              </w:rPr>
              <w:t>Lukić</w:t>
            </w:r>
            <w:proofErr w:type="spellEnd"/>
          </w:p>
        </w:tc>
      </w:tr>
      <w:tr w:rsidR="004501B5" w:rsidRPr="00042733" w:rsidTr="005B1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1572" w:type="pct"/>
            <w:vAlign w:val="center"/>
          </w:tcPr>
          <w:p w:rsidR="004501B5" w:rsidRPr="00042733" w:rsidRDefault="004501B5" w:rsidP="005B1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/>
                <w:bCs/>
                <w:lang w:val="en-GB" w:eastAsia="zh-CN"/>
              </w:rPr>
              <w:t>Associates in the course</w:t>
            </w:r>
          </w:p>
        </w:tc>
        <w:tc>
          <w:tcPr>
            <w:tcW w:w="3428" w:type="pct"/>
            <w:gridSpan w:val="2"/>
            <w:vAlign w:val="center"/>
          </w:tcPr>
          <w:p w:rsidR="004501B5" w:rsidRPr="00042733" w:rsidRDefault="00356C36" w:rsidP="005B1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color w:val="000000" w:themeColor="text1"/>
                <w:lang w:val="en-GB" w:eastAsia="zh-CN"/>
              </w:rPr>
              <w:t>Associate professor, Nikola Raguž</w:t>
            </w:r>
          </w:p>
        </w:tc>
      </w:tr>
      <w:tr w:rsidR="004501B5" w:rsidRPr="00042733" w:rsidTr="005B1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1572" w:type="pct"/>
            <w:vAlign w:val="center"/>
          </w:tcPr>
          <w:p w:rsidR="004501B5" w:rsidRPr="00042733" w:rsidRDefault="004501B5" w:rsidP="005B1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Study programme</w:t>
            </w:r>
          </w:p>
        </w:tc>
        <w:tc>
          <w:tcPr>
            <w:tcW w:w="3428" w:type="pct"/>
            <w:gridSpan w:val="2"/>
            <w:vAlign w:val="center"/>
          </w:tcPr>
          <w:p w:rsidR="004501B5" w:rsidRPr="00042733" w:rsidRDefault="00F80475" w:rsidP="005B1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 xml:space="preserve">MSc </w:t>
            </w:r>
            <w:r w:rsidR="00356C36" w:rsidRPr="00042733">
              <w:rPr>
                <w:rFonts w:ascii="Calibri" w:eastAsia="Times New Roman" w:hAnsi="Calibri" w:cs="Calibri"/>
                <w:bCs/>
                <w:lang w:val="en-GB" w:eastAsia="zh-CN"/>
              </w:rPr>
              <w:t>Diploma study</w:t>
            </w:r>
            <w:r w:rsidR="00DF220B" w:rsidRPr="00042733">
              <w:rPr>
                <w:rFonts w:ascii="Calibri" w:eastAsia="Times New Roman" w:hAnsi="Calibri" w:cs="Calibri"/>
                <w:bCs/>
                <w:lang w:val="en-GB" w:eastAsia="zh-CN"/>
              </w:rPr>
              <w:t xml:space="preserve">, </w:t>
            </w:r>
            <w:proofErr w:type="spellStart"/>
            <w:r w:rsidR="00DF220B" w:rsidRPr="00042733">
              <w:rPr>
                <w:rFonts w:ascii="Calibri" w:eastAsia="Times New Roman" w:hAnsi="Calibri" w:cs="Calibri"/>
                <w:bCs/>
                <w:lang w:val="en-GB" w:eastAsia="zh-CN"/>
              </w:rPr>
              <w:t>Zootehnique</w:t>
            </w:r>
            <w:proofErr w:type="spellEnd"/>
            <w:r w:rsidR="00DF220B" w:rsidRPr="00042733">
              <w:rPr>
                <w:rFonts w:ascii="Calibri" w:eastAsia="Times New Roman" w:hAnsi="Calibri" w:cs="Calibri"/>
                <w:bCs/>
                <w:lang w:val="en-GB" w:eastAsia="zh-CN"/>
              </w:rPr>
              <w:t xml:space="preserve"> (Special </w:t>
            </w:r>
            <w:proofErr w:type="spellStart"/>
            <w:r w:rsidR="00DF220B" w:rsidRPr="00042733">
              <w:rPr>
                <w:rFonts w:ascii="Calibri" w:eastAsia="Times New Roman" w:hAnsi="Calibri" w:cs="Calibri"/>
                <w:bCs/>
                <w:lang w:val="en-GB" w:eastAsia="zh-CN"/>
              </w:rPr>
              <w:t>zootehnique</w:t>
            </w:r>
            <w:proofErr w:type="spellEnd"/>
            <w:r w:rsidR="00DF220B" w:rsidRPr="00042733">
              <w:rPr>
                <w:rFonts w:ascii="Calibri" w:eastAsia="Times New Roman" w:hAnsi="Calibri" w:cs="Calibri"/>
                <w:bCs/>
                <w:lang w:val="en-GB" w:eastAsia="zh-CN"/>
              </w:rPr>
              <w:t>)</w:t>
            </w:r>
          </w:p>
        </w:tc>
      </w:tr>
      <w:tr w:rsidR="004501B5" w:rsidRPr="00042733" w:rsidTr="005B1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1572" w:type="pct"/>
            <w:vAlign w:val="center"/>
          </w:tcPr>
          <w:p w:rsidR="004501B5" w:rsidRPr="00042733" w:rsidRDefault="004501B5" w:rsidP="005B1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zh-CN"/>
              </w:rPr>
            </w:pPr>
            <w:r w:rsidRPr="00042733">
              <w:rPr>
                <w:b/>
                <w:lang w:val="en-GB"/>
              </w:rPr>
              <w:t>Course status</w:t>
            </w:r>
          </w:p>
        </w:tc>
        <w:tc>
          <w:tcPr>
            <w:tcW w:w="3428" w:type="pct"/>
            <w:gridSpan w:val="2"/>
            <w:vAlign w:val="center"/>
          </w:tcPr>
          <w:p w:rsidR="004501B5" w:rsidRPr="00042733" w:rsidRDefault="00F80475" w:rsidP="005B1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Obligatory</w:t>
            </w:r>
          </w:p>
        </w:tc>
      </w:tr>
      <w:tr w:rsidR="004501B5" w:rsidRPr="00042733" w:rsidTr="005B1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1572" w:type="pct"/>
            <w:vAlign w:val="center"/>
          </w:tcPr>
          <w:p w:rsidR="004501B5" w:rsidRPr="00042733" w:rsidRDefault="004501B5" w:rsidP="005B1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Year and semester</w:t>
            </w:r>
          </w:p>
        </w:tc>
        <w:tc>
          <w:tcPr>
            <w:tcW w:w="3428" w:type="pct"/>
            <w:gridSpan w:val="2"/>
            <w:vAlign w:val="center"/>
          </w:tcPr>
          <w:p w:rsidR="004501B5" w:rsidRPr="00042733" w:rsidRDefault="00C3072A" w:rsidP="005B1174">
            <w:pPr>
              <w:suppressAutoHyphens/>
              <w:spacing w:after="0" w:line="240" w:lineRule="auto"/>
              <w:ind w:left="1080" w:hanging="1080"/>
              <w:jc w:val="both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First year, I. semester</w:t>
            </w:r>
          </w:p>
        </w:tc>
      </w:tr>
      <w:tr w:rsidR="00C3072A" w:rsidRPr="00042733" w:rsidTr="005B1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1572" w:type="pct"/>
            <w:vMerge w:val="restart"/>
            <w:vAlign w:val="center"/>
          </w:tcPr>
          <w:p w:rsidR="00C3072A" w:rsidRPr="00042733" w:rsidRDefault="00C3072A" w:rsidP="00C3072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Credits and type of lecture</w:t>
            </w:r>
          </w:p>
        </w:tc>
        <w:tc>
          <w:tcPr>
            <w:tcW w:w="1163" w:type="pct"/>
            <w:vAlign w:val="center"/>
          </w:tcPr>
          <w:p w:rsidR="00C3072A" w:rsidRPr="00042733" w:rsidRDefault="00C3072A" w:rsidP="00C3072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ECTS</w:t>
            </w:r>
          </w:p>
        </w:tc>
        <w:tc>
          <w:tcPr>
            <w:tcW w:w="2265" w:type="pct"/>
            <w:vAlign w:val="center"/>
          </w:tcPr>
          <w:p w:rsidR="00C3072A" w:rsidRPr="00042733" w:rsidRDefault="00C3072A" w:rsidP="00C3072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6</w:t>
            </w:r>
          </w:p>
        </w:tc>
      </w:tr>
      <w:tr w:rsidR="00C3072A" w:rsidRPr="00042733" w:rsidTr="005B1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1572" w:type="pct"/>
            <w:vMerge/>
            <w:vAlign w:val="center"/>
          </w:tcPr>
          <w:p w:rsidR="00C3072A" w:rsidRPr="00042733" w:rsidRDefault="00C3072A" w:rsidP="00C3072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63" w:type="pct"/>
            <w:vAlign w:val="center"/>
          </w:tcPr>
          <w:p w:rsidR="00C3072A" w:rsidRPr="00042733" w:rsidRDefault="00C3072A" w:rsidP="00C3072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Classes (L + P + S)</w:t>
            </w:r>
          </w:p>
        </w:tc>
        <w:tc>
          <w:tcPr>
            <w:tcW w:w="2265" w:type="pct"/>
            <w:vAlign w:val="center"/>
          </w:tcPr>
          <w:p w:rsidR="00C3072A" w:rsidRPr="00042733" w:rsidRDefault="00C3072A" w:rsidP="00C3072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75 (</w:t>
            </w: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45</w:t>
            </w: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 xml:space="preserve">L + </w:t>
            </w: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30</w:t>
            </w: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P)</w:t>
            </w:r>
          </w:p>
        </w:tc>
      </w:tr>
      <w:tr w:rsidR="004501B5" w:rsidRPr="00042733" w:rsidTr="005B1174">
        <w:trPr>
          <w:trHeight w:val="397"/>
        </w:trPr>
        <w:tc>
          <w:tcPr>
            <w:tcW w:w="5000" w:type="pct"/>
            <w:gridSpan w:val="3"/>
            <w:vAlign w:val="center"/>
          </w:tcPr>
          <w:p w:rsidR="004501B5" w:rsidRPr="00042733" w:rsidRDefault="004501B5" w:rsidP="005B1174">
            <w:pPr>
              <w:spacing w:after="6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042733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COURSE DESCRIPTION  </w:t>
            </w:r>
          </w:p>
        </w:tc>
      </w:tr>
      <w:tr w:rsidR="004501B5" w:rsidRPr="00042733" w:rsidTr="005B1174">
        <w:trPr>
          <w:trHeight w:val="397"/>
        </w:trPr>
        <w:tc>
          <w:tcPr>
            <w:tcW w:w="1572" w:type="pct"/>
            <w:vAlign w:val="center"/>
          </w:tcPr>
          <w:p w:rsidR="004501B5" w:rsidRPr="00042733" w:rsidRDefault="004501B5" w:rsidP="005B11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/>
                <w:bCs/>
                <w:lang w:val="en-GB" w:eastAsia="zh-CN"/>
              </w:rPr>
              <w:t>Learning objectives</w:t>
            </w:r>
          </w:p>
        </w:tc>
        <w:tc>
          <w:tcPr>
            <w:tcW w:w="3428" w:type="pct"/>
            <w:gridSpan w:val="2"/>
            <w:vAlign w:val="center"/>
          </w:tcPr>
          <w:p w:rsidR="004501B5" w:rsidRPr="00042733" w:rsidRDefault="00E47867" w:rsidP="005B1174">
            <w:pPr>
              <w:spacing w:after="0" w:line="240" w:lineRule="auto"/>
              <w:jc w:val="both"/>
              <w:rPr>
                <w:rFonts w:eastAsia="Times New Roman" w:cstheme="minorHAnsi"/>
                <w:iCs/>
                <w:lang w:val="en-GB" w:eastAsia="zh-CN"/>
              </w:rPr>
            </w:pPr>
            <w:r w:rsidRPr="00042733">
              <w:rPr>
                <w:rFonts w:eastAsia="Times New Roman" w:cstheme="minorHAnsi"/>
                <w:iCs/>
                <w:lang w:val="en-GB" w:eastAsia="zh-CN"/>
              </w:rPr>
              <w:t>Introduce students to the concept of the inheritance of quantitative traits, mathematical-statistical methods in assessing their phenotypic, genetic, and environmental variability, the concept of heritability and breeding value</w:t>
            </w:r>
            <w:r w:rsidR="00F9375E" w:rsidRPr="00042733">
              <w:rPr>
                <w:rFonts w:eastAsia="Times New Roman" w:cstheme="minorHAnsi"/>
                <w:iCs/>
                <w:lang w:val="en-GB" w:eastAsia="zh-CN"/>
              </w:rPr>
              <w:t>s</w:t>
            </w:r>
            <w:r w:rsidRPr="00042733">
              <w:rPr>
                <w:rFonts w:eastAsia="Times New Roman" w:cstheme="minorHAnsi"/>
                <w:iCs/>
                <w:lang w:val="en-GB" w:eastAsia="zh-CN"/>
              </w:rPr>
              <w:t>, and the methods of selection for quantitative traits based on phenotypic and genomic information.</w:t>
            </w:r>
          </w:p>
        </w:tc>
      </w:tr>
      <w:tr w:rsidR="004501B5" w:rsidRPr="00042733" w:rsidTr="005B1174">
        <w:trPr>
          <w:trHeight w:val="397"/>
        </w:trPr>
        <w:tc>
          <w:tcPr>
            <w:tcW w:w="1572" w:type="pct"/>
            <w:vAlign w:val="center"/>
          </w:tcPr>
          <w:p w:rsidR="004501B5" w:rsidRPr="00042733" w:rsidRDefault="004501B5" w:rsidP="005B1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Prerequisites for course</w:t>
            </w:r>
          </w:p>
        </w:tc>
        <w:tc>
          <w:tcPr>
            <w:tcW w:w="3428" w:type="pct"/>
            <w:gridSpan w:val="2"/>
            <w:vAlign w:val="center"/>
          </w:tcPr>
          <w:p w:rsidR="004501B5" w:rsidRPr="00042733" w:rsidRDefault="00F9375E" w:rsidP="005B1174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n-GB" w:eastAsia="zh-CN"/>
              </w:rPr>
            </w:pPr>
            <w:r w:rsidRPr="00042733">
              <w:rPr>
                <w:rFonts w:ascii="Segoe UI" w:hAnsi="Segoe UI" w:cs="Segoe UI"/>
                <w:color w:val="0D0D0D"/>
                <w:shd w:val="clear" w:color="auto" w:fill="FFFFFF"/>
                <w:lang w:val="en-GB"/>
              </w:rPr>
              <w:t>No prerequisites.</w:t>
            </w:r>
          </w:p>
        </w:tc>
      </w:tr>
      <w:tr w:rsidR="004501B5" w:rsidRPr="00042733" w:rsidTr="005B1174">
        <w:trPr>
          <w:trHeight w:val="432"/>
        </w:trPr>
        <w:tc>
          <w:tcPr>
            <w:tcW w:w="5000" w:type="pct"/>
            <w:gridSpan w:val="3"/>
            <w:vAlign w:val="center"/>
          </w:tcPr>
          <w:p w:rsidR="004501B5" w:rsidRPr="00042733" w:rsidRDefault="004501B5" w:rsidP="005B1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zh-CN"/>
              </w:rPr>
            </w:pPr>
            <w:r w:rsidRPr="00042733">
              <w:rPr>
                <w:b/>
                <w:bCs/>
                <w:lang w:val="en-GB"/>
              </w:rPr>
              <w:t>Learning outcomes of the course</w:t>
            </w:r>
          </w:p>
        </w:tc>
      </w:tr>
      <w:tr w:rsidR="004501B5" w:rsidRPr="00042733" w:rsidTr="005B1174">
        <w:trPr>
          <w:trHeight w:val="432"/>
        </w:trPr>
        <w:tc>
          <w:tcPr>
            <w:tcW w:w="5000" w:type="pct"/>
            <w:gridSpan w:val="3"/>
            <w:vAlign w:val="center"/>
          </w:tcPr>
          <w:p w:rsidR="004501B5" w:rsidRPr="00042733" w:rsidRDefault="00F63229" w:rsidP="00F6322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After successfully completing the module, the student will be able to:</w:t>
            </w:r>
          </w:p>
          <w:p w:rsidR="00F9375E" w:rsidRPr="00042733" w:rsidRDefault="00F9375E" w:rsidP="00F9375E">
            <w:pPr>
              <w:pStyle w:val="ListParagraph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Explain the concept of inheritance of quantitative traits.</w:t>
            </w:r>
          </w:p>
          <w:p w:rsidR="00F9375E" w:rsidRPr="00042733" w:rsidRDefault="00F9375E" w:rsidP="00F9375E">
            <w:pPr>
              <w:pStyle w:val="ListParagraph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Understand the concept of heritability and breeding value.</w:t>
            </w:r>
          </w:p>
          <w:p w:rsidR="00F9375E" w:rsidRPr="00042733" w:rsidRDefault="00F9375E" w:rsidP="00F9375E">
            <w:pPr>
              <w:pStyle w:val="ListParagraph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 xml:space="preserve">Identify selection methods according to the nature of the trait, characteristics of the population and </w:t>
            </w: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 xml:space="preserve">the </w:t>
            </w: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breeding program.</w:t>
            </w:r>
          </w:p>
          <w:p w:rsidR="00F9375E" w:rsidRPr="00042733" w:rsidRDefault="0028662F" w:rsidP="00F9375E">
            <w:pPr>
              <w:pStyle w:val="ListParagraph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Evaluate the</w:t>
            </w:r>
            <w:r w:rsidR="00F9375E" w:rsidRPr="00042733">
              <w:rPr>
                <w:rFonts w:ascii="Calibri" w:eastAsia="Times New Roman" w:hAnsi="Calibri" w:cs="Calibri"/>
                <w:bCs/>
                <w:lang w:val="en-GB" w:eastAsia="zh-CN"/>
              </w:rPr>
              <w:t xml:space="preserve"> selection effect</w:t>
            </w: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s</w:t>
            </w:r>
            <w:r w:rsidR="00F9375E" w:rsidRPr="00042733">
              <w:rPr>
                <w:rFonts w:ascii="Calibri" w:eastAsia="Times New Roman" w:hAnsi="Calibri" w:cs="Calibri"/>
                <w:bCs/>
                <w:lang w:val="en-GB" w:eastAsia="zh-CN"/>
              </w:rPr>
              <w:t xml:space="preserve"> according to different criteria.</w:t>
            </w:r>
          </w:p>
          <w:p w:rsidR="00F9375E" w:rsidRPr="00042733" w:rsidRDefault="00F9375E" w:rsidP="00F9375E">
            <w:pPr>
              <w:pStyle w:val="ListParagraph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Understand the concept underlying the application of molecular markers in selection.</w:t>
            </w:r>
          </w:p>
          <w:p w:rsidR="00C02C81" w:rsidRPr="00042733" w:rsidRDefault="00F9375E" w:rsidP="00F9375E">
            <w:pPr>
              <w:pStyle w:val="ListParagraph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>Participate in the creation</w:t>
            </w:r>
            <w:r w:rsidR="0028662F" w:rsidRPr="00042733">
              <w:rPr>
                <w:rFonts w:ascii="Calibri" w:eastAsia="Times New Roman" w:hAnsi="Calibri" w:cs="Calibri"/>
                <w:bCs/>
                <w:lang w:val="en-GB" w:eastAsia="zh-CN"/>
              </w:rPr>
              <w:t xml:space="preserve"> and evaluation</w:t>
            </w: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 xml:space="preserve"> of breeding programs, evaluating genetic parameters, breeding values of individuals in populations under producti</w:t>
            </w:r>
            <w:r w:rsidR="00C91AF0" w:rsidRPr="00042733">
              <w:rPr>
                <w:rFonts w:ascii="Calibri" w:eastAsia="Times New Roman" w:hAnsi="Calibri" w:cs="Calibri"/>
                <w:bCs/>
                <w:lang w:val="en-GB" w:eastAsia="zh-CN"/>
              </w:rPr>
              <w:t>on</w:t>
            </w:r>
            <w:r w:rsidRPr="00042733">
              <w:rPr>
                <w:rFonts w:ascii="Calibri" w:eastAsia="Times New Roman" w:hAnsi="Calibri" w:cs="Calibri"/>
                <w:bCs/>
                <w:lang w:val="en-GB" w:eastAsia="zh-CN"/>
              </w:rPr>
              <w:t xml:space="preserve"> control.</w:t>
            </w:r>
          </w:p>
        </w:tc>
      </w:tr>
      <w:tr w:rsidR="004501B5" w:rsidRPr="00042733" w:rsidTr="005B1174">
        <w:trPr>
          <w:trHeight w:val="432"/>
        </w:trPr>
        <w:tc>
          <w:tcPr>
            <w:tcW w:w="5000" w:type="pct"/>
            <w:gridSpan w:val="3"/>
            <w:vAlign w:val="center"/>
          </w:tcPr>
          <w:p w:rsidR="004501B5" w:rsidRPr="00042733" w:rsidRDefault="004501B5" w:rsidP="005B11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042733">
              <w:rPr>
                <w:b/>
                <w:bCs/>
                <w:lang w:val="en-GB"/>
              </w:rPr>
              <w:t>Evaluation of students' work during class and at the final exam</w:t>
            </w:r>
          </w:p>
        </w:tc>
      </w:tr>
      <w:tr w:rsidR="004501B5" w:rsidRPr="00042733" w:rsidTr="005B1174">
        <w:trPr>
          <w:trHeight w:val="432"/>
        </w:trPr>
        <w:tc>
          <w:tcPr>
            <w:tcW w:w="5000" w:type="pct"/>
            <w:gridSpan w:val="3"/>
            <w:vAlign w:val="center"/>
          </w:tcPr>
          <w:p w:rsidR="004501B5" w:rsidRPr="00042733" w:rsidRDefault="00C91AF0" w:rsidP="005B1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lang w:val="en-GB" w:eastAsia="zh-CN"/>
              </w:rPr>
              <w:t xml:space="preserve">The right to take the final exam is obtained by collecting a minimum number of grading points. Grade points are earned on the basis of class attendance (minimum 70%), </w:t>
            </w:r>
            <w:r w:rsidR="003E52AA" w:rsidRPr="00042733">
              <w:rPr>
                <w:rFonts w:ascii="Calibri" w:eastAsia="Times New Roman" w:hAnsi="Calibri" w:cs="Calibri"/>
                <w:lang w:val="en-GB" w:eastAsia="zh-CN"/>
              </w:rPr>
              <w:t>student</w:t>
            </w:r>
            <w:r w:rsidRPr="00042733">
              <w:rPr>
                <w:rFonts w:ascii="Calibri" w:eastAsia="Times New Roman" w:hAnsi="Calibri" w:cs="Calibri"/>
                <w:lang w:val="en-GB" w:eastAsia="zh-CN"/>
              </w:rPr>
              <w:t xml:space="preserve"> activities and grades from </w:t>
            </w:r>
            <w:r w:rsidR="003E52AA" w:rsidRPr="00042733">
              <w:rPr>
                <w:rFonts w:ascii="Calibri" w:eastAsia="Times New Roman" w:hAnsi="Calibri" w:cs="Calibri"/>
                <w:lang w:val="en-GB" w:eastAsia="zh-CN"/>
              </w:rPr>
              <w:t xml:space="preserve">the </w:t>
            </w:r>
            <w:r w:rsidRPr="00042733">
              <w:rPr>
                <w:rFonts w:ascii="Calibri" w:eastAsia="Times New Roman" w:hAnsi="Calibri" w:cs="Calibri"/>
                <w:lang w:val="en-GB" w:eastAsia="zh-CN"/>
              </w:rPr>
              <w:t>partial exams. During the semester, students take three partial exams. The final exam is mandatory, and a positive grade from the final exam is a prerequisite for a positive final grade. The final exam is oral.</w:t>
            </w:r>
          </w:p>
        </w:tc>
      </w:tr>
      <w:tr w:rsidR="004501B5" w:rsidRPr="00042733" w:rsidTr="005B1174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B5" w:rsidRPr="00042733" w:rsidRDefault="004501B5" w:rsidP="005B1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/>
                <w:bCs/>
                <w:iCs/>
                <w:lang w:val="en-GB" w:eastAsia="zh-CN"/>
              </w:rPr>
              <w:t>Compulsory literature</w:t>
            </w:r>
          </w:p>
        </w:tc>
      </w:tr>
      <w:tr w:rsidR="004501B5" w:rsidRPr="00042733" w:rsidTr="005B1174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2AA" w:rsidRPr="00042733" w:rsidRDefault="003E52AA" w:rsidP="003E52A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Times New Roman" w:cstheme="minorHAnsi"/>
                <w:lang w:val="en-GB" w:eastAsia="zh-CN"/>
              </w:rPr>
            </w:pP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Lukić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, B. </w:t>
            </w:r>
            <w:r w:rsidRPr="00042733">
              <w:rPr>
                <w:rFonts w:eastAsia="Times New Roman" w:cstheme="minorHAnsi"/>
                <w:lang w:val="en-GB" w:eastAsia="zh-CN"/>
              </w:rPr>
              <w:t xml:space="preserve">Notes from the lectures </w:t>
            </w:r>
          </w:p>
          <w:p w:rsidR="003E52AA" w:rsidRPr="00042733" w:rsidRDefault="003E52AA" w:rsidP="003E52A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Times New Roman" w:cstheme="minorHAnsi"/>
                <w:lang w:val="en-GB" w:eastAsia="zh-CN"/>
              </w:rPr>
            </w:pPr>
            <w:r w:rsidRPr="00042733">
              <w:rPr>
                <w:rFonts w:eastAsia="Times New Roman" w:cstheme="minorHAnsi"/>
                <w:lang w:val="en-GB" w:eastAsia="zh-CN"/>
              </w:rPr>
              <w:t xml:space="preserve">Raguž, N. </w:t>
            </w:r>
            <w:r w:rsidR="00EB6FC0" w:rsidRPr="00042733">
              <w:rPr>
                <w:rFonts w:eastAsia="Times New Roman" w:cstheme="minorHAnsi"/>
                <w:lang w:val="en-GB" w:eastAsia="zh-CN"/>
              </w:rPr>
              <w:t>Notes from the lectures</w:t>
            </w:r>
          </w:p>
          <w:p w:rsidR="003E52AA" w:rsidRPr="00042733" w:rsidRDefault="003E52AA" w:rsidP="003E52A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Times New Roman" w:cstheme="minorHAnsi"/>
                <w:lang w:val="en-GB" w:eastAsia="zh-CN"/>
              </w:rPr>
            </w:pP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Oldenbroek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Kor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and van der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Waaij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Liesbeth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>. Textbook Animal Breeding and Genetics for BSc students. Centre for Genetic Resources</w:t>
            </w:r>
            <w:r w:rsidR="00042733">
              <w:rPr>
                <w:rFonts w:eastAsia="Times New Roman" w:cstheme="minorHAnsi"/>
                <w:lang w:val="en-GB" w:eastAsia="zh-CN"/>
              </w:rPr>
              <w:t>.</w:t>
            </w:r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gramStart"/>
            <w:r w:rsidRPr="00042733">
              <w:rPr>
                <w:rFonts w:eastAsia="Times New Roman" w:cstheme="minorHAnsi"/>
                <w:lang w:val="en-GB" w:eastAsia="zh-CN"/>
              </w:rPr>
              <w:t>The</w:t>
            </w:r>
            <w:proofErr w:type="gramEnd"/>
            <w:r w:rsidRPr="00042733">
              <w:rPr>
                <w:rFonts w:eastAsia="Times New Roman" w:cstheme="minorHAnsi"/>
                <w:lang w:val="en-GB" w:eastAsia="zh-CN"/>
              </w:rPr>
              <w:t xml:space="preserve"> Netherlands and Animal Breeding and Genomics Centre, 2015. </w:t>
            </w:r>
          </w:p>
          <w:p w:rsidR="003E52AA" w:rsidRPr="00042733" w:rsidRDefault="003E52AA" w:rsidP="003E52A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Times New Roman" w:cstheme="minorHAnsi"/>
                <w:lang w:val="en-GB" w:eastAsia="zh-CN"/>
              </w:rPr>
            </w:pP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Mrode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R. Linear Models for the Prediction of Animal Breeding Values. CABI Publishing, 2014.</w:t>
            </w:r>
          </w:p>
          <w:p w:rsidR="003E52AA" w:rsidRPr="00042733" w:rsidRDefault="003E52AA" w:rsidP="003E52A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Times New Roman" w:cstheme="minorHAnsi"/>
                <w:lang w:val="en-GB" w:eastAsia="zh-CN"/>
              </w:rPr>
            </w:pP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Jovanovac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, S.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Populacijska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genetika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domaćih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životinja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.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Skripta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.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Poljoprivredni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fakultet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u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Osijeku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>, 2005.</w:t>
            </w:r>
          </w:p>
          <w:p w:rsidR="003E52AA" w:rsidRPr="00042733" w:rsidRDefault="003E52AA" w:rsidP="003E52A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Times New Roman" w:cstheme="minorHAnsi"/>
                <w:lang w:val="en-GB" w:eastAsia="zh-CN"/>
              </w:rPr>
            </w:pP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Jovanovac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, S.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Principi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uzgoja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životinja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.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Sveučilišni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udžbenik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>, Osijek, 2013.</w:t>
            </w:r>
          </w:p>
          <w:p w:rsidR="004501B5" w:rsidRPr="00042733" w:rsidRDefault="003E52AA" w:rsidP="003E52A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Times New Roman" w:cstheme="minorHAnsi"/>
                <w:lang w:val="en-GB" w:eastAsia="zh-CN"/>
              </w:rPr>
            </w:pP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Rimac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, D.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Priručnik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za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vježbe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iz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Populacijske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genetike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domaćih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životinja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,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Poljoprivredni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fakultet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 xml:space="preserve"> u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Osijeku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>, 2005.</w:t>
            </w:r>
          </w:p>
        </w:tc>
      </w:tr>
      <w:tr w:rsidR="004501B5" w:rsidRPr="00042733" w:rsidTr="005B1174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B5" w:rsidRPr="00042733" w:rsidRDefault="004501B5" w:rsidP="005B1174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iCs/>
                <w:lang w:val="en-GB" w:eastAsia="zh-CN"/>
              </w:rPr>
            </w:pPr>
            <w:r w:rsidRPr="00042733">
              <w:rPr>
                <w:rFonts w:ascii="Calibri" w:eastAsia="Times New Roman" w:hAnsi="Calibri" w:cs="Calibri"/>
                <w:b/>
                <w:bCs/>
                <w:iCs/>
                <w:lang w:val="en-GB" w:eastAsia="zh-CN"/>
              </w:rPr>
              <w:t>Additional literature</w:t>
            </w:r>
          </w:p>
        </w:tc>
      </w:tr>
      <w:tr w:rsidR="004501B5" w:rsidRPr="00042733" w:rsidTr="005B1174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FC0" w:rsidRPr="00042733" w:rsidRDefault="00EB6FC0" w:rsidP="00EB6FC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theme="minorHAnsi"/>
                <w:lang w:val="en-GB" w:eastAsia="zh-CN"/>
              </w:rPr>
            </w:pPr>
            <w:r w:rsidRPr="00042733">
              <w:rPr>
                <w:rFonts w:eastAsia="Times New Roman" w:cstheme="minorHAnsi"/>
                <w:lang w:val="en-GB" w:eastAsia="zh-CN"/>
              </w:rPr>
              <w:t xml:space="preserve">Falconer, D.S., Mackay, T.F. Introduction to Quantitative Genetics. Longman Group; Ltd, 1996. </w:t>
            </w:r>
          </w:p>
          <w:p w:rsidR="004501B5" w:rsidRPr="00042733" w:rsidRDefault="00EB6FC0" w:rsidP="00EB6FC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theme="minorHAnsi"/>
                <w:lang w:val="en-GB" w:eastAsia="zh-CN"/>
              </w:rPr>
            </w:pPr>
            <w:r w:rsidRPr="00042733">
              <w:rPr>
                <w:rFonts w:eastAsia="Times New Roman" w:cstheme="minorHAnsi"/>
                <w:lang w:val="en-GB" w:eastAsia="zh-CN"/>
              </w:rPr>
              <w:t xml:space="preserve">Van </w:t>
            </w:r>
            <w:proofErr w:type="spellStart"/>
            <w:r w:rsidRPr="00042733">
              <w:rPr>
                <w:rFonts w:eastAsia="Times New Roman" w:cstheme="minorHAnsi"/>
                <w:lang w:val="en-GB" w:eastAsia="zh-CN"/>
              </w:rPr>
              <w:t>Vleck</w:t>
            </w:r>
            <w:proofErr w:type="spellEnd"/>
            <w:r w:rsidRPr="00042733">
              <w:rPr>
                <w:rFonts w:eastAsia="Times New Roman" w:cstheme="minorHAnsi"/>
                <w:lang w:val="en-GB" w:eastAsia="zh-CN"/>
              </w:rPr>
              <w:t>, L. Dale. Selection index and introduction to mixed model methods. CRC Press. 1999.</w:t>
            </w:r>
          </w:p>
        </w:tc>
      </w:tr>
    </w:tbl>
    <w:p w:rsidR="004E1671" w:rsidRPr="00042733" w:rsidRDefault="004E1671" w:rsidP="007D7A63">
      <w:pPr>
        <w:rPr>
          <w:lang w:val="en-GB"/>
        </w:rPr>
      </w:pPr>
    </w:p>
    <w:sectPr w:rsidR="004E1671" w:rsidRPr="00042733" w:rsidSect="00CB115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6E04"/>
    <w:multiLevelType w:val="hybridMultilevel"/>
    <w:tmpl w:val="83D061DE"/>
    <w:lvl w:ilvl="0" w:tplc="E5BE3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9619E5"/>
    <w:multiLevelType w:val="hybridMultilevel"/>
    <w:tmpl w:val="6BC62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0700"/>
    <w:multiLevelType w:val="hybridMultilevel"/>
    <w:tmpl w:val="8E282908"/>
    <w:lvl w:ilvl="0" w:tplc="BB4E4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B543B3"/>
    <w:multiLevelType w:val="hybridMultilevel"/>
    <w:tmpl w:val="CE2E384C"/>
    <w:lvl w:ilvl="0" w:tplc="18B66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279B4"/>
    <w:multiLevelType w:val="hybridMultilevel"/>
    <w:tmpl w:val="0EF8B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2463D"/>
    <w:multiLevelType w:val="hybridMultilevel"/>
    <w:tmpl w:val="B5F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65133"/>
    <w:multiLevelType w:val="hybridMultilevel"/>
    <w:tmpl w:val="A322E42A"/>
    <w:lvl w:ilvl="0" w:tplc="EFD44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50"/>
    <w:rsid w:val="00042733"/>
    <w:rsid w:val="00047C82"/>
    <w:rsid w:val="00065247"/>
    <w:rsid w:val="0028662F"/>
    <w:rsid w:val="00356C36"/>
    <w:rsid w:val="003E52AA"/>
    <w:rsid w:val="004501B5"/>
    <w:rsid w:val="004D67D7"/>
    <w:rsid w:val="004E1671"/>
    <w:rsid w:val="005F21CC"/>
    <w:rsid w:val="006F09AB"/>
    <w:rsid w:val="007D7A63"/>
    <w:rsid w:val="007E08AF"/>
    <w:rsid w:val="007F56D6"/>
    <w:rsid w:val="00832C8C"/>
    <w:rsid w:val="008E6A76"/>
    <w:rsid w:val="00956D27"/>
    <w:rsid w:val="00975D67"/>
    <w:rsid w:val="00A81DE0"/>
    <w:rsid w:val="00B830A4"/>
    <w:rsid w:val="00B83F1C"/>
    <w:rsid w:val="00B97AF8"/>
    <w:rsid w:val="00C02C81"/>
    <w:rsid w:val="00C24F83"/>
    <w:rsid w:val="00C3072A"/>
    <w:rsid w:val="00C545A2"/>
    <w:rsid w:val="00C91AF0"/>
    <w:rsid w:val="00CB1150"/>
    <w:rsid w:val="00DF220B"/>
    <w:rsid w:val="00E47867"/>
    <w:rsid w:val="00EB6FC0"/>
    <w:rsid w:val="00F63229"/>
    <w:rsid w:val="00F80475"/>
    <w:rsid w:val="00F9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898B"/>
  <w15:chartTrackingRefBased/>
  <w15:docId w15:val="{46750C63-E88E-42FA-8335-B0F9C074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8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49645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65653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668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149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40365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00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277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63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6907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3724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0942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Rebekić</dc:creator>
  <cp:keywords/>
  <dc:description/>
  <cp:lastModifiedBy>Boris Lukic</cp:lastModifiedBy>
  <cp:revision>13</cp:revision>
  <dcterms:created xsi:type="dcterms:W3CDTF">2023-05-25T11:47:00Z</dcterms:created>
  <dcterms:modified xsi:type="dcterms:W3CDTF">2024-03-11T12:01:00Z</dcterms:modified>
</cp:coreProperties>
</file>